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56FE" w14:textId="7939D1B5" w:rsidR="009F5AC6" w:rsidRPr="009F5AC6" w:rsidRDefault="009F5AC6">
      <w:pPr>
        <w:rPr>
          <w:rFonts w:ascii="MyriadPro-Bold" w:hAnsi="MyriadPro-Bold" w:hint="eastAsia"/>
          <w:b/>
          <w:color w:val="231F20"/>
          <w:u w:val="single"/>
        </w:rPr>
      </w:pPr>
      <w:r w:rsidRPr="009F5AC6">
        <w:rPr>
          <w:rFonts w:ascii="MyriadPro-Bold" w:hAnsi="MyriadPro-Bold"/>
          <w:b/>
          <w:color w:val="231F20"/>
          <w:u w:val="single"/>
        </w:rPr>
        <w:t xml:space="preserve">The Pap Test and Bethesda 2014 </w:t>
      </w:r>
    </w:p>
    <w:p w14:paraId="3A2F0072" w14:textId="4D27F718" w:rsidR="009F5AC6" w:rsidRPr="009F5AC6" w:rsidRDefault="009F5AC6">
      <w:pPr>
        <w:rPr>
          <w:rFonts w:ascii="MyriadPro-Bold" w:hAnsi="MyriadPro-Bold" w:hint="eastAsia"/>
          <w:b/>
          <w:color w:val="231F20"/>
          <w:u w:val="single"/>
        </w:rPr>
      </w:pPr>
      <w:r w:rsidRPr="009F5AC6">
        <w:rPr>
          <w:rFonts w:ascii="MyriadPro-Bold" w:hAnsi="MyriadPro-Bold"/>
          <w:b/>
          <w:color w:val="231F20"/>
          <w:u w:val="single"/>
        </w:rPr>
        <w:t xml:space="preserve">Acta </w:t>
      </w:r>
      <w:proofErr w:type="spellStart"/>
      <w:r w:rsidRPr="009F5AC6">
        <w:rPr>
          <w:rFonts w:ascii="MyriadPro-Bold" w:hAnsi="MyriadPro-Bold"/>
          <w:b/>
          <w:color w:val="231F20"/>
          <w:u w:val="single"/>
        </w:rPr>
        <w:t>Cytologica</w:t>
      </w:r>
      <w:proofErr w:type="spellEnd"/>
      <w:r w:rsidRPr="009F5AC6">
        <w:rPr>
          <w:rFonts w:ascii="MyriadPro-Bold" w:hAnsi="MyriadPro-Bold"/>
          <w:b/>
          <w:color w:val="231F20"/>
          <w:u w:val="single"/>
        </w:rPr>
        <w:t xml:space="preserve"> </w:t>
      </w:r>
      <w:proofErr w:type="gramStart"/>
      <w:r w:rsidRPr="009F5AC6">
        <w:rPr>
          <w:rFonts w:ascii="MyriadPro-Bold" w:hAnsi="MyriadPro-Bold"/>
          <w:b/>
          <w:color w:val="231F20"/>
          <w:u w:val="single"/>
        </w:rPr>
        <w:t>2015;59:121</w:t>
      </w:r>
      <w:proofErr w:type="gramEnd"/>
      <w:r w:rsidRPr="009F5AC6">
        <w:rPr>
          <w:rFonts w:ascii="MyriadPro-Bold" w:hAnsi="MyriadPro-Bold"/>
          <w:b/>
          <w:color w:val="231F20"/>
          <w:u w:val="single"/>
        </w:rPr>
        <w:t>–132</w:t>
      </w:r>
    </w:p>
    <w:p w14:paraId="23832547" w14:textId="77777777" w:rsidR="009F5AC6" w:rsidRPr="009F5AC6" w:rsidRDefault="009F5AC6">
      <w:pPr>
        <w:rPr>
          <w:rFonts w:ascii="MyriadPro-Bold" w:hAnsi="MyriadPro-Bold" w:hint="eastAsia"/>
          <w:b/>
          <w:color w:val="231F20"/>
          <w:u w:val="single"/>
        </w:rPr>
      </w:pPr>
    </w:p>
    <w:p w14:paraId="6B28BF53" w14:textId="49642F9B" w:rsidR="00A45F94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SPECIMEN TYPE: </w:t>
      </w:r>
    </w:p>
    <w:p w14:paraId="5C8FAF99" w14:textId="07DE0314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Indicate conventional smear (Pap smear) vs. liquid-based preparation vs. other </w:t>
      </w:r>
    </w:p>
    <w:p w14:paraId="7052BA53" w14:textId="77777777" w:rsidR="00A45F94" w:rsidRDefault="00A45F94">
      <w:pPr>
        <w:rPr>
          <w:rFonts w:ascii="MyriadPro-Bold" w:hAnsi="MyriadPro-Bold" w:hint="eastAsia"/>
          <w:b/>
          <w:color w:val="231F20"/>
          <w:sz w:val="18"/>
        </w:rPr>
      </w:pPr>
    </w:p>
    <w:p w14:paraId="1CA35C21" w14:textId="1540C1AD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SPECIMEN ADEQUACY </w:t>
      </w:r>
    </w:p>
    <w:p w14:paraId="4E5F43EC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Satisfactory for evaluation (describe presence or absence of endocervical/transformation zone component and any other quality indicators, e.g., partially obscuring blood, inflammation, etc.)</w:t>
      </w:r>
    </w:p>
    <w:p w14:paraId="7ED9C626" w14:textId="30C2F000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Unsatisfactory for evaluation . . . (specify reason) </w:t>
      </w:r>
    </w:p>
    <w:p w14:paraId="4EFE7A9D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Specimen rejected/not processed (specify reason) </w:t>
      </w:r>
    </w:p>
    <w:p w14:paraId="1735FDDB" w14:textId="77777777" w:rsidR="00A45F94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Specimen processed and examined, but unsatisfactory for evaluation of epithelial abnormality because of (specify reason) </w:t>
      </w:r>
    </w:p>
    <w:p w14:paraId="15065AFF" w14:textId="77777777" w:rsidR="00A45F94" w:rsidRDefault="00A45F94">
      <w:pPr>
        <w:rPr>
          <w:rFonts w:ascii="MyriadPro-Bold" w:hAnsi="MyriadPro-Bold" w:hint="eastAsia"/>
          <w:b/>
          <w:color w:val="231F20"/>
          <w:sz w:val="18"/>
        </w:rPr>
      </w:pPr>
    </w:p>
    <w:p w14:paraId="4793C36C" w14:textId="0D58717C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GENERAL CATEGORIZATION (optional) </w:t>
      </w:r>
    </w:p>
    <w:p w14:paraId="087786E6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Negative for Intraepithelial Lesion or Malignancy </w:t>
      </w:r>
    </w:p>
    <w:p w14:paraId="3336FDF5" w14:textId="63FFD31A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Other: See Interpretation/Result (e.g., endometrial cells in a woman 45 years of age) </w:t>
      </w:r>
    </w:p>
    <w:p w14:paraId="65F7CE01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Epithelial Cell Abnormality: See Interpretation/Result (specify </w:t>
      </w:r>
      <w:r w:rsidRPr="00437FBD">
        <w:rPr>
          <w:rFonts w:ascii="Times New Roman" w:hAnsi="Times New Roman" w:cs="Times New Roman"/>
          <w:b/>
          <w:color w:val="231F20"/>
          <w:sz w:val="18"/>
        </w:rPr>
        <w:t>‘</w:t>
      </w:r>
      <w:r w:rsidRPr="00437FBD">
        <w:rPr>
          <w:rFonts w:ascii="MyriadPro-Bold" w:hAnsi="MyriadPro-Bold"/>
          <w:b/>
          <w:color w:val="231F20"/>
          <w:sz w:val="18"/>
        </w:rPr>
        <w:t>squamous</w:t>
      </w:r>
      <w:r w:rsidRPr="00437FBD">
        <w:rPr>
          <w:rFonts w:ascii="Times New Roman" w:hAnsi="Times New Roman" w:cs="Times New Roman"/>
          <w:b/>
          <w:color w:val="231F20"/>
          <w:sz w:val="18"/>
        </w:rPr>
        <w:t>’</w:t>
      </w:r>
      <w:r w:rsidRPr="00437FBD">
        <w:rPr>
          <w:rFonts w:ascii="MyriadPro-Bold" w:hAnsi="MyriadPro-Bold"/>
          <w:b/>
          <w:color w:val="231F20"/>
          <w:sz w:val="18"/>
        </w:rPr>
        <w:t xml:space="preserve"> or </w:t>
      </w:r>
      <w:r w:rsidRPr="00437FBD">
        <w:rPr>
          <w:rFonts w:ascii="Times New Roman" w:hAnsi="Times New Roman" w:cs="Times New Roman"/>
          <w:b/>
          <w:color w:val="231F20"/>
          <w:sz w:val="18"/>
        </w:rPr>
        <w:t>‘</w:t>
      </w:r>
      <w:r w:rsidRPr="00437FBD">
        <w:rPr>
          <w:rFonts w:ascii="MyriadPro-Bold" w:hAnsi="MyriadPro-Bold"/>
          <w:b/>
          <w:color w:val="231F20"/>
          <w:sz w:val="18"/>
        </w:rPr>
        <w:t>glandular</w:t>
      </w:r>
      <w:r w:rsidRPr="00437FBD">
        <w:rPr>
          <w:rFonts w:ascii="Times New Roman" w:hAnsi="Times New Roman" w:cs="Times New Roman"/>
          <w:b/>
          <w:color w:val="231F20"/>
          <w:sz w:val="18"/>
        </w:rPr>
        <w:t>’</w:t>
      </w:r>
      <w:r w:rsidRPr="00437FBD">
        <w:rPr>
          <w:rFonts w:ascii="MyriadPro-Bold" w:hAnsi="MyriadPro-Bold"/>
          <w:b/>
          <w:color w:val="231F20"/>
          <w:sz w:val="18"/>
        </w:rPr>
        <w:t xml:space="preserve"> as appropriate) </w:t>
      </w:r>
    </w:p>
    <w:p w14:paraId="16D25CBF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</w:p>
    <w:p w14:paraId="3E867509" w14:textId="77777777" w:rsidR="00A45F94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INTERPRETATION/RESULT NEGATIVE FOR INTRAEPITHELIAL LESION OR MALIGNANCY </w:t>
      </w:r>
    </w:p>
    <w:p w14:paraId="2E770D9C" w14:textId="77777777" w:rsidR="00A45F94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(When there is no cellular evidence of neoplasia, state this in the General Categorization above and/or in the Interpretation/Result section of the report--whether or not there are organisms or other non-neoplastic findings) </w:t>
      </w:r>
    </w:p>
    <w:p w14:paraId="7C21CB89" w14:textId="47449E3B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Non-Neoplastic Findings (optional to report) </w:t>
      </w:r>
    </w:p>
    <w:p w14:paraId="4D676080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Non-neoplastic cellular variations </w:t>
      </w:r>
      <w:proofErr w:type="spellStart"/>
      <w:r w:rsidRPr="00437FBD">
        <w:rPr>
          <w:rFonts w:ascii="MyriadPro-Bold" w:hAnsi="MyriadPro-Bold"/>
          <w:b/>
          <w:color w:val="231F20"/>
          <w:sz w:val="18"/>
        </w:rPr>
        <w:t>o</w:t>
      </w:r>
      <w:proofErr w:type="spellEnd"/>
      <w:r w:rsidRPr="00437FBD">
        <w:rPr>
          <w:rFonts w:ascii="MyriadPro-Bold" w:hAnsi="MyriadPro-Bold"/>
          <w:b/>
          <w:color w:val="231F20"/>
          <w:sz w:val="18"/>
        </w:rPr>
        <w:t xml:space="preserve"> Squamous metaplasia o Keratotic changes o Tubal metaplasia o Atrophy o Pregnancy-associated changes </w:t>
      </w:r>
    </w:p>
    <w:p w14:paraId="6D4516CE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Reactive cellular changes associated with: </w:t>
      </w:r>
      <w:r w:rsidRPr="00437FBD">
        <w:rPr>
          <w:rFonts w:ascii="Times New Roman" w:hAnsi="Times New Roman" w:cs="Times New Roman"/>
          <w:b/>
          <w:color w:val="231F20"/>
          <w:sz w:val="18"/>
        </w:rPr>
        <w:t>¾</w:t>
      </w:r>
      <w:r w:rsidRPr="00437FBD">
        <w:rPr>
          <w:rFonts w:ascii="MyriadPro-Bold" w:hAnsi="MyriadPro-Bold"/>
          <w:b/>
          <w:color w:val="231F20"/>
          <w:sz w:val="18"/>
        </w:rPr>
        <w:t xml:space="preserve"> Inflammation (includes typical repair) o Lymphocytic (follicular) cervicitis </w:t>
      </w:r>
      <w:r w:rsidRPr="00437FBD">
        <w:rPr>
          <w:rFonts w:ascii="Times New Roman" w:hAnsi="Times New Roman" w:cs="Times New Roman"/>
          <w:b/>
          <w:color w:val="231F20"/>
          <w:sz w:val="18"/>
        </w:rPr>
        <w:t>¾</w:t>
      </w:r>
      <w:r w:rsidRPr="00437FBD">
        <w:rPr>
          <w:rFonts w:ascii="MyriadPro-Bold" w:hAnsi="MyriadPro-Bold"/>
          <w:b/>
          <w:color w:val="231F20"/>
          <w:sz w:val="18"/>
        </w:rPr>
        <w:t xml:space="preserve"> Radiation </w:t>
      </w:r>
      <w:r w:rsidRPr="00437FBD">
        <w:rPr>
          <w:rFonts w:ascii="Times New Roman" w:hAnsi="Times New Roman" w:cs="Times New Roman"/>
          <w:b/>
          <w:color w:val="231F20"/>
          <w:sz w:val="18"/>
        </w:rPr>
        <w:t>¾</w:t>
      </w:r>
      <w:r w:rsidRPr="00437FBD">
        <w:rPr>
          <w:rFonts w:ascii="MyriadPro-Bold" w:hAnsi="MyriadPro-Bold"/>
          <w:b/>
          <w:color w:val="231F20"/>
          <w:sz w:val="18"/>
        </w:rPr>
        <w:t xml:space="preserve"> Intrauterine contraceptive device (IUD) </w:t>
      </w:r>
    </w:p>
    <w:p w14:paraId="674324F0" w14:textId="77777777" w:rsidR="00A45F94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Glandular cells status post hysterectomy  </w:t>
      </w:r>
    </w:p>
    <w:p w14:paraId="2F086ED5" w14:textId="2851DAC9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Organisms </w:t>
      </w:r>
    </w:p>
    <w:p w14:paraId="57994E75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Trichomonas vaginalis </w:t>
      </w:r>
    </w:p>
    <w:p w14:paraId="1EACA4C4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Fungal organisms morphologically consistent with Candida spp. </w:t>
      </w:r>
    </w:p>
    <w:p w14:paraId="2009A3E2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Shift in flora suggestive of bacterial vaginosis </w:t>
      </w:r>
    </w:p>
    <w:p w14:paraId="4983C485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Bacteria morphologically consistent with Actinomyces spp. </w:t>
      </w:r>
    </w:p>
    <w:p w14:paraId="0FBD5D3E" w14:textId="77777777" w:rsidR="00437FBD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Cellular changes consistent with herpes simplex virus </w:t>
      </w:r>
    </w:p>
    <w:p w14:paraId="3E9EF23F" w14:textId="77777777" w:rsidR="00A45F94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Times New Roman" w:hAnsi="Times New Roman" w:cs="Times New Roman"/>
          <w:b/>
          <w:color w:val="231F20"/>
          <w:sz w:val="18"/>
        </w:rPr>
        <w:t></w:t>
      </w:r>
      <w:r w:rsidRPr="00437FBD">
        <w:rPr>
          <w:rFonts w:ascii="MyriadPro-Bold" w:hAnsi="MyriadPro-Bold"/>
          <w:b/>
          <w:color w:val="231F20"/>
          <w:sz w:val="18"/>
        </w:rPr>
        <w:t xml:space="preserve"> Cellular changes consistent with cytomegalovirus </w:t>
      </w:r>
    </w:p>
    <w:p w14:paraId="52465A28" w14:textId="77777777" w:rsidR="00A45F94" w:rsidRDefault="00A45F94">
      <w:pPr>
        <w:rPr>
          <w:rFonts w:ascii="MyriadPro-Bold" w:hAnsi="MyriadPro-Bold" w:hint="eastAsia"/>
          <w:b/>
          <w:color w:val="231F20"/>
          <w:sz w:val="18"/>
        </w:rPr>
      </w:pPr>
    </w:p>
    <w:p w14:paraId="3C6C99F2" w14:textId="72C031E0" w:rsidR="00D30E05" w:rsidRDefault="00437FBD">
      <w:pPr>
        <w:rPr>
          <w:rFonts w:ascii="MyriadPro-Bold" w:hAnsi="MyriadPro-Bold" w:hint="eastAsia"/>
          <w:b/>
          <w:color w:val="231F20"/>
          <w:sz w:val="18"/>
        </w:rPr>
      </w:pPr>
      <w:r w:rsidRPr="00437FBD">
        <w:rPr>
          <w:rFonts w:ascii="MyriadPro-Bold" w:hAnsi="MyriadPro-Bold"/>
          <w:b/>
          <w:color w:val="231F20"/>
          <w:sz w:val="18"/>
        </w:rPr>
        <w:t xml:space="preserve">OTHER </w:t>
      </w:r>
      <w:r w:rsidRPr="00437FBD">
        <w:rPr>
          <w:rFonts w:ascii="Times New Roman" w:hAnsi="Times New Roman" w:cs="Times New Roman"/>
          <w:b/>
          <w:color w:val="231F20"/>
          <w:sz w:val="18"/>
        </w:rPr>
        <w:t>¾</w:t>
      </w:r>
      <w:r w:rsidRPr="00437FBD">
        <w:rPr>
          <w:rFonts w:ascii="MyriadPro-Bold" w:hAnsi="MyriadPro-Bold"/>
          <w:b/>
          <w:color w:val="231F20"/>
          <w:sz w:val="18"/>
        </w:rPr>
        <w:t xml:space="preserve"> Endometrial cells (in a woman</w:t>
      </w:r>
      <w:r>
        <w:rPr>
          <w:rFonts w:ascii="MyriadPro-Bold" w:hAnsi="MyriadPro-Bold"/>
          <w:b/>
          <w:color w:val="231F20"/>
          <w:sz w:val="18"/>
        </w:rPr>
        <w:t xml:space="preserve"> </w:t>
      </w:r>
      <w:r w:rsidRPr="00437FBD">
        <w:rPr>
          <w:rFonts w:ascii="MyriadPro-Bold" w:hAnsi="MyriadPro-Bold"/>
          <w:b/>
          <w:color w:val="231F20"/>
          <w:sz w:val="18"/>
        </w:rPr>
        <w:t xml:space="preserve">45 years of age) (Specify if </w:t>
      </w:r>
      <w:r w:rsidRPr="00437FBD">
        <w:rPr>
          <w:rFonts w:ascii="Times New Roman" w:hAnsi="Times New Roman" w:cs="Times New Roman"/>
          <w:b/>
          <w:color w:val="231F20"/>
          <w:sz w:val="18"/>
        </w:rPr>
        <w:t>“</w:t>
      </w:r>
      <w:r w:rsidRPr="00437FBD">
        <w:rPr>
          <w:rFonts w:ascii="MyriadPro-Bold" w:hAnsi="MyriadPro-Bold"/>
          <w:b/>
          <w:color w:val="231F20"/>
          <w:sz w:val="18"/>
        </w:rPr>
        <w:t>negative for squamous intraepithelial lesion</w:t>
      </w:r>
      <w:r w:rsidRPr="00437FBD">
        <w:rPr>
          <w:rFonts w:ascii="Times New Roman" w:hAnsi="Times New Roman" w:cs="Times New Roman"/>
          <w:b/>
          <w:color w:val="231F20"/>
          <w:sz w:val="18"/>
        </w:rPr>
        <w:t>”</w:t>
      </w:r>
      <w:r w:rsidRPr="00437FBD">
        <w:rPr>
          <w:rFonts w:ascii="MyriadPro-Bold" w:hAnsi="MyriadPro-Bold"/>
          <w:b/>
          <w:color w:val="231F20"/>
          <w:sz w:val="18"/>
        </w:rPr>
        <w:t xml:space="preserve">) </w:t>
      </w:r>
    </w:p>
    <w:p w14:paraId="4797066B" w14:textId="77777777" w:rsidR="00A45F94" w:rsidRDefault="00A45F94"/>
    <w:p w14:paraId="2D5ABF58" w14:textId="77777777" w:rsidR="00D30E05" w:rsidRDefault="006619B5">
      <w:r>
        <w:rPr>
          <w:rFonts w:ascii="TimesNewRoman,Bold" w:hAnsi="TimesNewRoman,Bold"/>
          <w:b/>
          <w:color w:val="000000"/>
          <w:sz w:val="19"/>
        </w:rPr>
        <w:t>EPITHELIAL CELL ABNORMALITIES</w:t>
      </w:r>
    </w:p>
    <w:p w14:paraId="11492E93" w14:textId="77777777" w:rsidR="00A45F94" w:rsidRDefault="00A45F94">
      <w:pPr>
        <w:rPr>
          <w:rFonts w:ascii="TimesNewRoman" w:hAnsi="TimesNewRoman" w:hint="eastAsia"/>
          <w:color w:val="000000"/>
          <w:sz w:val="19"/>
        </w:rPr>
      </w:pPr>
    </w:p>
    <w:p w14:paraId="0D6B5210" w14:textId="0CD638AE" w:rsidR="00D30E05" w:rsidRDefault="006619B5">
      <w:r>
        <w:rPr>
          <w:rFonts w:ascii="TimesNewRoman" w:hAnsi="TimesNewRoman"/>
          <w:color w:val="000000"/>
          <w:sz w:val="19"/>
        </w:rPr>
        <w:t>SQUAMOUS CELL</w:t>
      </w:r>
    </w:p>
    <w:p w14:paraId="6937E10A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Atypical squamous cells</w:t>
      </w:r>
    </w:p>
    <w:p w14:paraId="1FC12370" w14:textId="77777777" w:rsidR="00D30E05" w:rsidRDefault="006619B5">
      <w:r>
        <w:rPr>
          <w:rFonts w:ascii="TimesNewRoman" w:hAnsi="TimesNewRoman"/>
          <w:color w:val="000000"/>
          <w:sz w:val="19"/>
        </w:rPr>
        <w:t>• of undetermined significance (ASC-US)</w:t>
      </w:r>
    </w:p>
    <w:p w14:paraId="4F793B41" w14:textId="77777777" w:rsidR="00D30E05" w:rsidRDefault="006619B5">
      <w:r>
        <w:rPr>
          <w:rFonts w:ascii="TimesNewRoman" w:hAnsi="TimesNewRoman"/>
          <w:color w:val="000000"/>
          <w:sz w:val="19"/>
        </w:rPr>
        <w:t>• cannot exclude HSIL (ASC-H)</w:t>
      </w:r>
    </w:p>
    <w:p w14:paraId="78E315F6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Low-grade squamous intraepithelial lesion (LSIL)</w:t>
      </w:r>
    </w:p>
    <w:p w14:paraId="3ACE670B" w14:textId="77777777" w:rsidR="00D30E05" w:rsidRDefault="006619B5">
      <w:r>
        <w:rPr>
          <w:rFonts w:ascii="TimesNewRoman" w:hAnsi="TimesNewRoman"/>
          <w:color w:val="000000"/>
          <w:sz w:val="19"/>
        </w:rPr>
        <w:t>(</w:t>
      </w:r>
      <w:r>
        <w:rPr>
          <w:rFonts w:ascii="TimesNewRoman,Italic" w:hAnsi="TimesNewRoman,Italic"/>
          <w:i/>
          <w:color w:val="000000"/>
          <w:sz w:val="19"/>
        </w:rPr>
        <w:t>encompassing: HPV/mild dysplasia/CIN 1</w:t>
      </w:r>
      <w:r>
        <w:rPr>
          <w:rFonts w:ascii="TimesNewRoman" w:hAnsi="TimesNewRoman"/>
          <w:color w:val="000000"/>
          <w:sz w:val="19"/>
        </w:rPr>
        <w:t>)</w:t>
      </w:r>
    </w:p>
    <w:p w14:paraId="1B53E166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High-grade squamous intraepithelial lesion (HSIL)</w:t>
      </w:r>
    </w:p>
    <w:p w14:paraId="7BFAB5B5" w14:textId="77777777" w:rsidR="00D30E05" w:rsidRDefault="006619B5">
      <w:r>
        <w:rPr>
          <w:rFonts w:ascii="TimesNewRoman" w:hAnsi="TimesNewRoman"/>
          <w:color w:val="000000"/>
          <w:sz w:val="19"/>
        </w:rPr>
        <w:t>(</w:t>
      </w:r>
      <w:r>
        <w:rPr>
          <w:rFonts w:ascii="TimesNewRoman,Italic" w:hAnsi="TimesNewRoman,Italic"/>
          <w:i/>
          <w:color w:val="000000"/>
          <w:sz w:val="19"/>
        </w:rPr>
        <w:t>encompassing: moderate and severe dysplasia, CIS; CIN 2 and CIN 3</w:t>
      </w:r>
      <w:r>
        <w:rPr>
          <w:rFonts w:ascii="TimesNewRoman" w:hAnsi="TimesNewRoman"/>
          <w:color w:val="000000"/>
          <w:sz w:val="19"/>
        </w:rPr>
        <w:t>)</w:t>
      </w:r>
    </w:p>
    <w:p w14:paraId="5C19CEAC" w14:textId="77777777" w:rsidR="00D30E05" w:rsidRDefault="006619B5">
      <w:r>
        <w:rPr>
          <w:rFonts w:ascii="TimesNewRoman" w:hAnsi="TimesNewRoman"/>
          <w:color w:val="000000"/>
          <w:sz w:val="19"/>
        </w:rPr>
        <w:t>• with features suspicious for invasion (</w:t>
      </w:r>
      <w:r>
        <w:rPr>
          <w:rFonts w:ascii="TimesNewRoman,Italic" w:hAnsi="TimesNewRoman,Italic"/>
          <w:i/>
          <w:color w:val="000000"/>
          <w:sz w:val="19"/>
        </w:rPr>
        <w:t>if invasion is suspected</w:t>
      </w:r>
      <w:r>
        <w:rPr>
          <w:rFonts w:ascii="TimesNewRoman" w:hAnsi="TimesNewRoman"/>
          <w:color w:val="000000"/>
          <w:sz w:val="19"/>
        </w:rPr>
        <w:t>)</w:t>
      </w:r>
    </w:p>
    <w:p w14:paraId="651A884E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Squamous cell carcinoma</w:t>
      </w:r>
    </w:p>
    <w:p w14:paraId="6D19AB87" w14:textId="77777777" w:rsidR="00A45F94" w:rsidRDefault="00A45F94">
      <w:pPr>
        <w:rPr>
          <w:rFonts w:ascii="TimesNewRoman" w:hAnsi="TimesNewRoman" w:hint="eastAsia"/>
          <w:color w:val="000000"/>
          <w:sz w:val="19"/>
        </w:rPr>
      </w:pPr>
    </w:p>
    <w:p w14:paraId="45EC00C9" w14:textId="6FFD8D11" w:rsidR="00D30E05" w:rsidRDefault="006619B5">
      <w:r>
        <w:rPr>
          <w:rFonts w:ascii="TimesNewRoman" w:hAnsi="TimesNewRoman"/>
          <w:color w:val="000000"/>
          <w:sz w:val="19"/>
        </w:rPr>
        <w:t>GLANDULAR CELL</w:t>
      </w:r>
    </w:p>
    <w:p w14:paraId="09E700CE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Atypical</w:t>
      </w:r>
    </w:p>
    <w:p w14:paraId="7E1693E2" w14:textId="77777777" w:rsidR="00D30E05" w:rsidRDefault="006619B5">
      <w:r>
        <w:rPr>
          <w:rFonts w:ascii="TimesNewRoman" w:hAnsi="TimesNewRoman"/>
          <w:color w:val="000000"/>
          <w:sz w:val="19"/>
        </w:rPr>
        <w:t xml:space="preserve">• endocervical cells (NOS </w:t>
      </w:r>
      <w:r>
        <w:rPr>
          <w:rFonts w:ascii="TimesNewRoman,Italic" w:hAnsi="TimesNewRoman,Italic"/>
          <w:i/>
          <w:color w:val="000000"/>
          <w:sz w:val="19"/>
        </w:rPr>
        <w:t>or specify in comments</w:t>
      </w:r>
      <w:r>
        <w:rPr>
          <w:rFonts w:ascii="TimesNewRoman" w:hAnsi="TimesNewRoman"/>
          <w:color w:val="000000"/>
          <w:sz w:val="19"/>
        </w:rPr>
        <w:t>)</w:t>
      </w:r>
    </w:p>
    <w:p w14:paraId="43343605" w14:textId="77777777" w:rsidR="00D30E05" w:rsidRDefault="006619B5" w:rsidP="006619B5">
      <w:pPr>
        <w:tabs>
          <w:tab w:val="left" w:pos="7140"/>
        </w:tabs>
      </w:pPr>
      <w:r>
        <w:rPr>
          <w:rFonts w:ascii="TimesNewRoman" w:hAnsi="TimesNewRoman"/>
          <w:color w:val="000000"/>
          <w:sz w:val="19"/>
        </w:rPr>
        <w:t xml:space="preserve">• endometrial cells (NOS </w:t>
      </w:r>
      <w:r>
        <w:rPr>
          <w:rFonts w:ascii="TimesNewRoman,Italic" w:hAnsi="TimesNewRoman,Italic"/>
          <w:i/>
          <w:color w:val="000000"/>
          <w:sz w:val="19"/>
        </w:rPr>
        <w:t>or specify in comments</w:t>
      </w:r>
      <w:r>
        <w:rPr>
          <w:rFonts w:ascii="TimesNewRoman" w:hAnsi="TimesNewRoman"/>
          <w:color w:val="000000"/>
          <w:sz w:val="19"/>
        </w:rPr>
        <w:t>)</w:t>
      </w:r>
      <w:r>
        <w:rPr>
          <w:rFonts w:ascii="TimesNewRoman" w:hAnsi="TimesNewRoman" w:hint="eastAsia"/>
          <w:color w:val="000000"/>
          <w:sz w:val="19"/>
        </w:rPr>
        <w:tab/>
      </w:r>
    </w:p>
    <w:p w14:paraId="45092D77" w14:textId="77777777" w:rsidR="00D30E05" w:rsidRDefault="006619B5">
      <w:r>
        <w:rPr>
          <w:rFonts w:ascii="TimesNewRoman" w:hAnsi="TimesNewRoman"/>
          <w:color w:val="000000"/>
          <w:sz w:val="19"/>
        </w:rPr>
        <w:t xml:space="preserve">• glandular cells (NOS </w:t>
      </w:r>
      <w:r>
        <w:rPr>
          <w:rFonts w:ascii="TimesNewRoman,Italic" w:hAnsi="TimesNewRoman,Italic"/>
          <w:i/>
          <w:color w:val="000000"/>
          <w:sz w:val="19"/>
        </w:rPr>
        <w:t>or specify in comments</w:t>
      </w:r>
      <w:r>
        <w:rPr>
          <w:rFonts w:ascii="TimesNewRoman" w:hAnsi="TimesNewRoman"/>
          <w:color w:val="000000"/>
          <w:sz w:val="19"/>
        </w:rPr>
        <w:t>)</w:t>
      </w:r>
    </w:p>
    <w:p w14:paraId="0C220B4B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Atypical</w:t>
      </w:r>
    </w:p>
    <w:p w14:paraId="111806A7" w14:textId="77777777" w:rsidR="00D30E05" w:rsidRDefault="006619B5">
      <w:r>
        <w:rPr>
          <w:rFonts w:ascii="TimesNewRoman" w:hAnsi="TimesNewRoman"/>
          <w:color w:val="000000"/>
          <w:sz w:val="19"/>
        </w:rPr>
        <w:t>• endocervical cells, favor neoplastic</w:t>
      </w:r>
    </w:p>
    <w:p w14:paraId="61C3F64E" w14:textId="77777777" w:rsidR="00D30E05" w:rsidRDefault="006619B5">
      <w:r>
        <w:rPr>
          <w:rFonts w:ascii="TimesNewRoman" w:hAnsi="TimesNewRoman"/>
          <w:color w:val="000000"/>
          <w:sz w:val="19"/>
        </w:rPr>
        <w:t>• glandular cells, favor neoplastic</w:t>
      </w:r>
    </w:p>
    <w:p w14:paraId="35CCECAC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Endocervical adenocarcinoma in situ</w:t>
      </w:r>
    </w:p>
    <w:p w14:paraId="11A05043" w14:textId="77777777" w:rsidR="00D30E05" w:rsidRDefault="006619B5">
      <w:r>
        <w:rPr>
          <w:rFonts w:ascii="Wingdings-Regular-Identity-H" w:hAnsi="Wingdings-Regular-Identity-H"/>
          <w:color w:val="000000"/>
          <w:sz w:val="19"/>
        </w:rPr>
        <w:t xml:space="preserve">? </w:t>
      </w:r>
      <w:r>
        <w:rPr>
          <w:rFonts w:ascii="TimesNewRoman" w:hAnsi="TimesNewRoman"/>
          <w:color w:val="000000"/>
          <w:sz w:val="19"/>
        </w:rPr>
        <w:t>Adenocarcinoma</w:t>
      </w:r>
    </w:p>
    <w:p w14:paraId="4E33E2A5" w14:textId="77777777" w:rsidR="00D30E05" w:rsidRDefault="006619B5">
      <w:r>
        <w:rPr>
          <w:rFonts w:ascii="TimesNewRoman" w:hAnsi="TimesNewRoman"/>
          <w:color w:val="000000"/>
          <w:sz w:val="19"/>
        </w:rPr>
        <w:t>• endocervical</w:t>
      </w:r>
    </w:p>
    <w:p w14:paraId="378AB8A5" w14:textId="77777777" w:rsidR="00D30E05" w:rsidRDefault="006619B5">
      <w:r>
        <w:rPr>
          <w:rFonts w:ascii="TimesNewRoman" w:hAnsi="TimesNewRoman"/>
          <w:color w:val="000000"/>
          <w:sz w:val="19"/>
        </w:rPr>
        <w:t>• endometrial</w:t>
      </w:r>
    </w:p>
    <w:p w14:paraId="5FDA7093" w14:textId="77777777" w:rsidR="00D30E05" w:rsidRDefault="006619B5">
      <w:r>
        <w:rPr>
          <w:rFonts w:ascii="TimesNewRoman" w:hAnsi="TimesNewRoman"/>
          <w:color w:val="000000"/>
          <w:sz w:val="19"/>
        </w:rPr>
        <w:lastRenderedPageBreak/>
        <w:t>• extrauterine</w:t>
      </w:r>
    </w:p>
    <w:p w14:paraId="5A1DA10D" w14:textId="77777777" w:rsidR="00D30E05" w:rsidRDefault="006619B5">
      <w:r>
        <w:rPr>
          <w:rFonts w:ascii="TimesNewRoman" w:hAnsi="TimesNewRoman"/>
          <w:color w:val="000000"/>
          <w:sz w:val="19"/>
        </w:rPr>
        <w:t>• not otherwise specified (NOS)</w:t>
      </w:r>
    </w:p>
    <w:p w14:paraId="0B8545E3" w14:textId="77777777" w:rsidR="00A45F94" w:rsidRDefault="00A45F94">
      <w:pPr>
        <w:rPr>
          <w:rFonts w:ascii="TimesNewRoman,Bold" w:hAnsi="TimesNewRoman,Bold" w:hint="eastAsia"/>
          <w:b/>
          <w:color w:val="000000"/>
          <w:sz w:val="19"/>
        </w:rPr>
      </w:pPr>
    </w:p>
    <w:p w14:paraId="3DB84DE8" w14:textId="3F8C7C31" w:rsidR="00D30E05" w:rsidRDefault="006619B5">
      <w:r>
        <w:rPr>
          <w:rFonts w:ascii="TimesNewRoman,Bold" w:hAnsi="TimesNewRoman,Bold"/>
          <w:b/>
          <w:color w:val="000000"/>
          <w:sz w:val="19"/>
        </w:rPr>
        <w:t xml:space="preserve">OTHER MALIGNANT NEOPLASMS: </w:t>
      </w:r>
      <w:r>
        <w:rPr>
          <w:rFonts w:ascii="TimesNewRoman,Italic" w:hAnsi="TimesNewRoman,Italic"/>
          <w:i/>
          <w:color w:val="000000"/>
          <w:sz w:val="19"/>
        </w:rPr>
        <w:t>(specify)</w:t>
      </w:r>
    </w:p>
    <w:p w14:paraId="6291A37B" w14:textId="77777777" w:rsidR="00D30E05" w:rsidRDefault="006619B5">
      <w:r>
        <w:rPr>
          <w:rFonts w:ascii="TimesNewRoman,Bold" w:hAnsi="TimesNewRoman,Bold"/>
          <w:b/>
          <w:color w:val="000000"/>
          <w:sz w:val="19"/>
        </w:rPr>
        <w:t>ADJUNCTIVE TESTING</w:t>
      </w:r>
    </w:p>
    <w:p w14:paraId="08399C99" w14:textId="77777777" w:rsidR="00D30E05" w:rsidRDefault="006619B5">
      <w:r>
        <w:rPr>
          <w:rFonts w:ascii="TimesNewRoman,Italic" w:hAnsi="TimesNewRoman,Italic"/>
          <w:i/>
          <w:color w:val="000000"/>
          <w:sz w:val="19"/>
        </w:rPr>
        <w:t>Provide a brief description of the test method(s) and report the result so that it is easily</w:t>
      </w:r>
    </w:p>
    <w:p w14:paraId="2539572D" w14:textId="77777777" w:rsidR="00D30E05" w:rsidRDefault="006619B5">
      <w:r>
        <w:rPr>
          <w:rFonts w:ascii="TimesNewRoman,Italic" w:hAnsi="TimesNewRoman,Italic"/>
          <w:i/>
          <w:color w:val="000000"/>
          <w:sz w:val="19"/>
        </w:rPr>
        <w:t>understood by the clinician.</w:t>
      </w:r>
    </w:p>
    <w:p w14:paraId="5391869D" w14:textId="77777777" w:rsidR="00A45F94" w:rsidRDefault="00A45F94">
      <w:pPr>
        <w:rPr>
          <w:rFonts w:ascii="TimesNewRoman,Bold" w:hAnsi="TimesNewRoman,Bold" w:hint="eastAsia"/>
          <w:b/>
          <w:color w:val="000000"/>
          <w:sz w:val="19"/>
        </w:rPr>
      </w:pPr>
    </w:p>
    <w:p w14:paraId="23D218AA" w14:textId="12D6C007" w:rsidR="00D30E05" w:rsidRDefault="006619B5">
      <w:r>
        <w:rPr>
          <w:rFonts w:ascii="TimesNewRoman,Bold" w:hAnsi="TimesNewRoman,Bold"/>
          <w:b/>
          <w:color w:val="000000"/>
          <w:sz w:val="19"/>
        </w:rPr>
        <w:t>COMPUTER-ASSISTED INTERPRETATION OF CERVICAL CYTOLOGY</w:t>
      </w:r>
    </w:p>
    <w:p w14:paraId="4E08F7E4" w14:textId="77777777" w:rsidR="00D30E05" w:rsidRDefault="006619B5">
      <w:r>
        <w:rPr>
          <w:rFonts w:ascii="TimesNewRoman,Italic" w:hAnsi="TimesNewRoman,Italic"/>
          <w:i/>
          <w:color w:val="000000"/>
          <w:sz w:val="19"/>
        </w:rPr>
        <w:t>If case examined by an automated device, specify device and result.</w:t>
      </w:r>
    </w:p>
    <w:p w14:paraId="6385282D" w14:textId="77777777" w:rsidR="00A45F94" w:rsidRDefault="00A45F94">
      <w:pPr>
        <w:rPr>
          <w:rFonts w:ascii="TimesNewRoman,Bold" w:hAnsi="TimesNewRoman,Bold" w:hint="eastAsia"/>
          <w:b/>
          <w:color w:val="000000"/>
          <w:sz w:val="19"/>
        </w:rPr>
      </w:pPr>
    </w:p>
    <w:p w14:paraId="491AC044" w14:textId="10E6061C" w:rsidR="00D30E05" w:rsidRDefault="006619B5">
      <w:r>
        <w:rPr>
          <w:rFonts w:ascii="TimesNewRoman,Bold" w:hAnsi="TimesNewRoman,Bold"/>
          <w:b/>
          <w:color w:val="000000"/>
          <w:sz w:val="19"/>
        </w:rPr>
        <w:t>EDUCATIONAL NOTES AND COMMENTS APPENDED TO CYTOLOGY</w:t>
      </w:r>
    </w:p>
    <w:p w14:paraId="224ED3C3" w14:textId="77777777" w:rsidR="00D30E05" w:rsidRDefault="006619B5">
      <w:r>
        <w:rPr>
          <w:rFonts w:ascii="TimesNewRoman,Bold" w:hAnsi="TimesNewRoman,Bold"/>
          <w:b/>
          <w:color w:val="000000"/>
          <w:sz w:val="19"/>
        </w:rPr>
        <w:t>REPORTS (</w:t>
      </w:r>
      <w:r>
        <w:rPr>
          <w:rFonts w:ascii="TimesNewRoman,BoldItalic" w:hAnsi="TimesNewRoman,BoldItalic"/>
          <w:b/>
          <w:i/>
          <w:color w:val="000000"/>
          <w:sz w:val="19"/>
        </w:rPr>
        <w:t>optional</w:t>
      </w:r>
      <w:r>
        <w:rPr>
          <w:rFonts w:ascii="TimesNewRoman,Bold" w:hAnsi="TimesNewRoman,Bold"/>
          <w:b/>
          <w:color w:val="000000"/>
          <w:sz w:val="19"/>
        </w:rPr>
        <w:t>)</w:t>
      </w:r>
    </w:p>
    <w:p w14:paraId="451E9843" w14:textId="77777777" w:rsidR="00D30E05" w:rsidRDefault="006619B5">
      <w:r>
        <w:rPr>
          <w:rFonts w:ascii="TimesNewRoman,Italic" w:hAnsi="TimesNewRoman,Italic"/>
          <w:i/>
          <w:color w:val="000000"/>
          <w:sz w:val="19"/>
        </w:rPr>
        <w:t>Suggestions should be concise and consistent with clinical follow-up guidelines published</w:t>
      </w:r>
    </w:p>
    <w:p w14:paraId="41C41390" w14:textId="4336494F" w:rsidR="00D30E05" w:rsidRDefault="006619B5">
      <w:pPr>
        <w:rPr>
          <w:rFonts w:ascii="TimesNewRoman,Italic" w:hAnsi="TimesNewRoman,Italic"/>
          <w:i/>
          <w:color w:val="000000"/>
          <w:sz w:val="19"/>
        </w:rPr>
      </w:pPr>
      <w:r>
        <w:rPr>
          <w:rFonts w:ascii="TimesNewRoman,Italic" w:hAnsi="TimesNewRoman,Italic"/>
          <w:i/>
          <w:color w:val="000000"/>
          <w:sz w:val="19"/>
        </w:rPr>
        <w:t>by professional organizations (references to relevant publications may be included).</w:t>
      </w:r>
    </w:p>
    <w:p w14:paraId="14A7377D" w14:textId="6E087D71" w:rsidR="008C37D3" w:rsidRDefault="008C37D3"/>
    <w:p w14:paraId="56C13962" w14:textId="1C038A46" w:rsidR="008C37D3" w:rsidRDefault="008C37D3">
      <w:r>
        <w:t xml:space="preserve">For further reference please refer to PDF file. </w:t>
      </w:r>
      <w:bookmarkStart w:id="0" w:name="_GoBack"/>
      <w:bookmarkEnd w:id="0"/>
    </w:p>
    <w:sectPr w:rsidR="008C37D3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Bold">
    <w:altName w:val="Times New Roman"/>
    <w:charset w:val="00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variable"/>
  </w:font>
  <w:font w:name="Wingdings-Regular-Identity-H">
    <w:altName w:val="Times New Roman"/>
    <w:charset w:val="00"/>
    <w:family w:val="roman"/>
    <w:pitch w:val="variable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E05"/>
    <w:rsid w:val="00437FBD"/>
    <w:rsid w:val="006619B5"/>
    <w:rsid w:val="008C37D3"/>
    <w:rsid w:val="009F5AC6"/>
    <w:rsid w:val="00A45F94"/>
    <w:rsid w:val="00D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B12E"/>
  <w15:docId w15:val="{BB8DD577-F481-41E7-9807-F4E39EC9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2961</Characters>
  <Application>Microsoft Office Word</Application>
  <DocSecurity>0</DocSecurity>
  <Lines>24</Lines>
  <Paragraphs>6</Paragraphs>
  <ScaleCrop>false</ScaleCrop>
  <Company>Hewlett-Packard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6</cp:revision>
  <dcterms:created xsi:type="dcterms:W3CDTF">2018-12-03T15:42:00Z</dcterms:created>
  <dcterms:modified xsi:type="dcterms:W3CDTF">2018-12-04T08:35:00Z</dcterms:modified>
  <dc:language>en-US</dc:language>
</cp:coreProperties>
</file>